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6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4200" w:right="1170" w:hanging="33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Date: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419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38100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993"/>
        <w:gridCol w:w="1603"/>
        <w:tblGridChange w:id="0">
          <w:tblGrid>
            <w:gridCol w:w="562"/>
            <w:gridCol w:w="2554"/>
            <w:gridCol w:w="2928"/>
            <w:gridCol w:w="523"/>
            <w:gridCol w:w="993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22-ELECTRICAL PUMP/MOTOR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condition of pump should be good.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2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Cable entry point should be fully packed, so that water can’t enter.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Junction box of motor should be free from defects.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On/off switch should be properly insulated.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of machine should be covered by fixed guard.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Machine should be grounded as per IS 3043:1987.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1123950</wp:posOffset>
            </wp:positionH>
            <wp:positionV relativeFrom="paragraph">
              <wp:posOffset>3695858</wp:posOffset>
            </wp:positionV>
            <wp:extent cx="4387601" cy="3529107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7601" cy="35291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ZZxFuA6sl7NHeCvosBN6adTzlog==">AMUW2mX/9hgEs76fJX2wkPUp5SbiXj/aZ5TGy4VlbnsBXFnkUI4r8J9/szRvVL0ll/8BWv6svCsViTtbsTghw/36yMOpezNHyBAmbS0jPV5Z55ApW6iXoFK4aVxVgQAbcRPTxI0FMAM/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2021-07-25T22:35:00Z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